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Pr="00652D3B" w:rsidRDefault="001761AB" w:rsidP="008B7A6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hAnsi="PT Astra Serif"/>
        </w:rPr>
        <w:object w:dxaOrig="1093" w:dyaOrig="1619" w14:anchorId="626DE67E">
          <v:rect id="rectole0000000000" o:spid="_x0000_i1025" style="width:54.7pt;height:81pt" o:ole="" o:preferrelative="t" stroked="f">
            <v:imagedata r:id="rId6" o:title=""/>
          </v:rect>
          <o:OLEObject Type="Embed" ProgID="StaticMetafile" ShapeID="rectole0000000000" DrawAspect="Content" ObjectID="_1768896157" r:id="rId7"/>
        </w:object>
      </w:r>
    </w:p>
    <w:p w14:paraId="1D060CDF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652D3B" w:rsidRDefault="007A317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F4A55B6" w14:textId="57FFC3F1" w:rsidR="00BB1F01" w:rsidRPr="00652D3B" w:rsidRDefault="001761AB" w:rsidP="00BB1F0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2DE61785" w14:textId="77777777" w:rsidR="00200E68" w:rsidRPr="00652D3B" w:rsidRDefault="00200E6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5D5CFD3" w14:textId="2B69421D" w:rsidR="00013432" w:rsidRPr="00652D3B" w:rsidRDefault="007354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 О С Т А Н О В Л Е Н И Е </w:t>
      </w:r>
    </w:p>
    <w:p w14:paraId="5692C8CA" w14:textId="77777777" w:rsidR="00013432" w:rsidRPr="00652D3B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3ACE407" w14:textId="42F54C73" w:rsidR="00B91426" w:rsidRPr="00652D3B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От </w:t>
      </w:r>
      <w:r w:rsidR="001A364B">
        <w:rPr>
          <w:rFonts w:ascii="PT Astra Serif" w:eastAsia="Times New Roman" w:hAnsi="PT Astra Serif" w:cs="Times New Roman"/>
          <w:b/>
          <w:sz w:val="28"/>
        </w:rPr>
        <w:t>08 февраля 2024</w:t>
      </w:r>
      <w:r w:rsidR="00286B79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№</w:t>
      </w:r>
      <w:r w:rsidR="00D15138">
        <w:rPr>
          <w:rFonts w:ascii="PT Astra Serif" w:eastAsia="Times New Roman" w:hAnsi="PT Astra Serif" w:cs="Times New Roman"/>
          <w:b/>
          <w:sz w:val="28"/>
        </w:rPr>
        <w:t xml:space="preserve"> 6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14:paraId="582DBFE1" w14:textId="68738B1E" w:rsidR="00013432" w:rsidRPr="00652D3B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</w:r>
    </w:p>
    <w:p w14:paraId="6E26F40D" w14:textId="77777777" w:rsidR="00013432" w:rsidRPr="00652D3B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Pr="00652D3B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652D3B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5AEC50F1" w14:textId="1EAFD3BC" w:rsidR="007A3173" w:rsidRPr="00652D3B" w:rsidRDefault="003407DD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>О внесении изменений и дополнений в постановление от 30.09.2022 г № 39.1 «Об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202</w:t>
            </w:r>
            <w:r w:rsidR="002F7D30">
              <w:rPr>
                <w:rFonts w:ascii="PT Astra Serif" w:eastAsia="Times New Roman" w:hAnsi="PT Astra Serif" w:cs="Times New Roman"/>
                <w:b/>
                <w:sz w:val="28"/>
              </w:rPr>
              <w:t>4</w:t>
            </w: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>-202</w:t>
            </w:r>
            <w:r w:rsidR="002F7D30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 xml:space="preserve"> годы»»</w:t>
            </w:r>
          </w:p>
        </w:tc>
      </w:tr>
    </w:tbl>
    <w:p w14:paraId="26213151" w14:textId="137631BC" w:rsidR="00E65276" w:rsidRPr="00652D3B" w:rsidRDefault="00E65276" w:rsidP="00E652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3F6E4306" w14:textId="562E9411" w:rsidR="003407DD" w:rsidRPr="003407DD" w:rsidRDefault="003407DD" w:rsidP="003407DD">
      <w:pPr>
        <w:spacing w:after="0" w:line="240" w:lineRule="auto"/>
        <w:ind w:left="708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1. Внести в постановление администрации Барановского муниципального образования от</w:t>
      </w:r>
      <w:r w:rsidR="002F7D30" w:rsidRP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30.09.2022 г № 39.1 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 на 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4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6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годы» изменения следующего содержания:</w:t>
      </w:r>
    </w:p>
    <w:p w14:paraId="040E24A9" w14:textId="422B85F4" w:rsidR="003407DD" w:rsidRPr="003407DD" w:rsidRDefault="003407DD" w:rsidP="003407DD">
      <w:pPr>
        <w:spacing w:after="0" w:line="240" w:lineRule="auto"/>
        <w:ind w:left="708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 приложение к постановлению администрации Барановского муниципального образования от 30.09.2023 г. №39.1 ««Развитие местного самоуправления Барановского муниципального образования Аткарского муниципального района на 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4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6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годы» изложить в новой редакции согласно приложению.    </w:t>
      </w:r>
    </w:p>
    <w:p w14:paraId="2DA114F4" w14:textId="77777777" w:rsidR="003407DD" w:rsidRPr="003407DD" w:rsidRDefault="003407DD" w:rsidP="003407DD">
      <w:pPr>
        <w:spacing w:after="0" w:line="240" w:lineRule="auto"/>
        <w:ind w:left="708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2. Настоящее постановление вступает в силу со дня его подписания.</w:t>
      </w:r>
    </w:p>
    <w:p w14:paraId="005CE35C" w14:textId="17AD98E7" w:rsidR="00E82F79" w:rsidRPr="00652D3B" w:rsidRDefault="003407DD" w:rsidP="003407DD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3.Контроль за исполнением настоящего постановления оставляю за собой.</w:t>
      </w:r>
    </w:p>
    <w:p w14:paraId="04C50E9B" w14:textId="77777777" w:rsidR="007A3173" w:rsidRPr="00652D3B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 образования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</w:t>
      </w:r>
      <w:r w:rsidR="007A3173"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           </w:t>
      </w:r>
    </w:p>
    <w:p w14:paraId="7B28C88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</w:p>
    <w:p w14:paraId="257C1850" w14:textId="77777777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F71AE3D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«</w:t>
      </w:r>
      <w:r w:rsidR="00295B0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Развитие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6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ы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14:paraId="0D75A607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756F118A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100C16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508B0B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9710319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F90B804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DF03471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318955D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126E11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96BE38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43D489F" w14:textId="1FFC0E8D" w:rsidR="008B7A6A" w:rsidRPr="00652D3B" w:rsidRDefault="008B7A6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3C706CC" w14:textId="255C9634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FB176A" w14:textId="1ABE2523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BA36B49" w14:textId="17579282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8CDBB24" w14:textId="77777777" w:rsidR="00B91426" w:rsidRPr="00652D3B" w:rsidRDefault="00B91426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58549333" w14:textId="77777777" w:rsidR="00586D35" w:rsidRPr="00652D3B" w:rsidRDefault="00B91426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</w:p>
    <w:p w14:paraId="75264DB2" w14:textId="77777777" w:rsidR="00586D35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0F9B17F4" w14:textId="77777777" w:rsidR="00586D35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26BA6F19" w14:textId="77777777" w:rsidR="00652D3B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</w:p>
    <w:p w14:paraId="442CCDA1" w14:textId="77777777" w:rsidR="00652D3B" w:rsidRPr="00652D3B" w:rsidRDefault="00652D3B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33BB2334" w14:textId="5186FBAD" w:rsidR="00013432" w:rsidRPr="00652D3B" w:rsidRDefault="00652D3B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  <w:r w:rsidR="00B91426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Приложение к постановлению </w:t>
      </w:r>
    </w:p>
    <w:p w14:paraId="2D424DCB" w14:textId="77777777" w:rsidR="00013432" w:rsidRPr="00652D3B" w:rsidRDefault="001761A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администрации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МО</w:t>
      </w:r>
    </w:p>
    <w:p w14:paraId="63AF3EA8" w14:textId="57829ECF" w:rsidR="00013432" w:rsidRPr="00652D3B" w:rsidRDefault="001761A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от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1A364B">
        <w:rPr>
          <w:rFonts w:ascii="PT Astra Serif" w:eastAsia="Times New Roman" w:hAnsi="PT Astra Serif" w:cs="Times New Roman"/>
          <w:b/>
          <w:sz w:val="28"/>
        </w:rPr>
        <w:t>08.02.2024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74301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№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D15138">
        <w:rPr>
          <w:rFonts w:ascii="PT Astra Serif" w:eastAsia="Times New Roman" w:hAnsi="PT Astra Serif" w:cs="Times New Roman"/>
          <w:b/>
          <w:sz w:val="28"/>
        </w:rPr>
        <w:t>6</w:t>
      </w:r>
    </w:p>
    <w:p w14:paraId="5503B20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9D1D88B" w14:textId="17C06256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b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:rsidRPr="00652D3B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78007FE" w:rsidR="00013432" w:rsidRPr="00652D3B" w:rsidRDefault="001761AB" w:rsidP="00295B0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год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</w:tr>
      <w:tr w:rsidR="00401AB4" w:rsidRPr="00652D3B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Pr="00652D3B" w:rsidRDefault="0001343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</w:p>
          <w:p w14:paraId="222FB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652D3B" w:rsidRDefault="001761AB" w:rsidP="001C1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полноценных условий для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развития, совершенствования и повышения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эфф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ективности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7432570E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Барановском муниципальном образовании Аткарского муниципального </w:t>
            </w:r>
            <w:r w:rsidR="0050786C" w:rsidRPr="00652D3B">
              <w:rPr>
                <w:rFonts w:ascii="PT Astra Serif" w:eastAsia="Times New Roman" w:hAnsi="PT Astra Serif" w:cs="Times New Roman"/>
                <w:sz w:val="24"/>
              </w:rPr>
              <w:t>района;</w:t>
            </w:r>
          </w:p>
          <w:p w14:paraId="79706AA1" w14:textId="77777777" w:rsidR="001C1F3F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4.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B7A636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5.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704C0B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6. Обеспечение качественного контроля за правильным и целевым расходованием бюджетных</w:t>
            </w:r>
            <w:hyperlink r:id="rId8">
              <w:r w:rsidRPr="00652D3B">
                <w:rPr>
                  <w:rFonts w:ascii="PT Astra Serif" w:eastAsia="Times New Roman" w:hAnsi="PT Astra Serif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652D3B">
              <w:rPr>
                <w:rFonts w:ascii="PT Astra Serif" w:eastAsia="Times New Roman" w:hAnsi="PT Astra Serif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652D3B" w:rsidRDefault="001C1F3F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7. 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34503E5F" w14:textId="77777777" w:rsidR="00013432" w:rsidRPr="00652D3B" w:rsidRDefault="00401AB4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8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RPr="00652D3B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652D3B" w:rsidRDefault="00A46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»</w:t>
            </w:r>
          </w:p>
          <w:p w14:paraId="0BBF64A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эф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 xml:space="preserve">фективности и результативности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652D3B" w:rsidRDefault="0001343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401AB4" w:rsidRPr="00652D3B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12C44EDD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</w:p>
        </w:tc>
      </w:tr>
      <w:tr w:rsidR="00401AB4" w:rsidRPr="00652D3B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652D3B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652D3B" w:rsidRDefault="001761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08210E5A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D3BCB50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05429D32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8B7A6A" w:rsidRPr="00652D3B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311F7983" w:rsidR="008B7A6A" w:rsidRPr="00652D3B" w:rsidRDefault="00D15138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1 039,6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69A459FB" w:rsidR="008B7A6A" w:rsidRPr="00652D3B" w:rsidRDefault="00D15138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387,2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39CDCD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35A4CB9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</w:tr>
      <w:tr w:rsidR="008B7A6A" w:rsidRPr="00652D3B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Pr="00652D3B" w:rsidRDefault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652D3B" w:rsidRDefault="007A317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-доля муниципальных служащих, повысивших уровень профессиональных знаний увеличится на 30%;</w:t>
            </w:r>
          </w:p>
          <w:p w14:paraId="752EAA4F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-процент обеспечения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 100%;</w:t>
            </w:r>
          </w:p>
          <w:p w14:paraId="1A48898B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-обеспеченность информационно-статистическими материалами органов местного самоуправления 100%;</w:t>
            </w:r>
          </w:p>
          <w:p w14:paraId="6BD16240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 20%</w:t>
            </w:r>
          </w:p>
        </w:tc>
      </w:tr>
    </w:tbl>
    <w:p w14:paraId="23E24A7A" w14:textId="77777777" w:rsidR="007A3173" w:rsidRPr="00652D3B" w:rsidRDefault="007A31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4FFDCB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06C81590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4EFED5C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371B72A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1.</w:t>
      </w:r>
      <w:r w:rsidRPr="00652D3B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Pr="00652D3B" w:rsidRDefault="0044374A" w:rsidP="00443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14:paraId="3C67B3EA" w14:textId="77777777" w:rsidR="00C86F6A" w:rsidRPr="00652D3B" w:rsidRDefault="001761AB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44374A" w:rsidRPr="00652D3B">
        <w:rPr>
          <w:rFonts w:ascii="PT Astra Serif" w:eastAsia="Times New Roman" w:hAnsi="PT Astra Serif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льно-экономическим потенциалом Барановского </w:t>
      </w:r>
      <w:r w:rsidR="0044374A" w:rsidRPr="00652D3B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652D3B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652D3B" w:rsidRDefault="00C86F6A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 в соответствии с Уставом 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sz w:val="28"/>
        </w:rPr>
        <w:t xml:space="preserve">являются исполнительно-распорядительным органом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652D3B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Pr="00652D3B" w:rsidRDefault="00013432">
      <w:pPr>
        <w:spacing w:after="0" w:line="240" w:lineRule="auto"/>
        <w:ind w:firstLine="642"/>
        <w:jc w:val="both"/>
        <w:rPr>
          <w:rFonts w:ascii="PT Astra Serif" w:eastAsia="Times New Roman" w:hAnsi="PT Astra Serif" w:cs="Times New Roman"/>
          <w:sz w:val="28"/>
        </w:rPr>
      </w:pPr>
    </w:p>
    <w:p w14:paraId="7F8F1748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D207D" w14:textId="77777777" w:rsidR="00013432" w:rsidRPr="00652D3B" w:rsidRDefault="001761AB" w:rsidP="00F02DE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6E5434A6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4AAF5" w14:textId="77777777" w:rsidR="00013432" w:rsidRPr="00652D3B" w:rsidRDefault="00FF0603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ab/>
      </w:r>
      <w:r w:rsidR="001761AB" w:rsidRPr="00652D3B">
        <w:rPr>
          <w:rFonts w:ascii="PT Astra Serif" w:eastAsia="Times New Roman" w:hAnsi="PT Astra Serif" w:cs="Times New Roman"/>
          <w:color w:val="000000"/>
          <w:sz w:val="28"/>
        </w:rPr>
        <w:t>Целью программы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 является создание условий для </w:t>
      </w:r>
      <w:r w:rsidRPr="00652D3B">
        <w:rPr>
          <w:rFonts w:ascii="PT Astra Serif" w:eastAsia="Times New Roman" w:hAnsi="PT Astra Serif" w:cs="Times New Roman"/>
          <w:sz w:val="28"/>
        </w:rPr>
        <w:t xml:space="preserve">развития, совершенствования и повышения 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652D3B" w:rsidRDefault="001761AB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>Задачи программы:</w:t>
      </w:r>
    </w:p>
    <w:p w14:paraId="10CF83F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3C2BE900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B966A15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5470939A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652D3B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652D3B">
        <w:rPr>
          <w:rFonts w:ascii="PT Astra Serif" w:eastAsia="Times New Roman" w:hAnsi="PT Astra Serif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652D3B" w:rsidRDefault="00A4603C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7. О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0DAC581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Pr="00652D3B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3. Перечень основных мероприятий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469D312B" w14:textId="77777777" w:rsidR="00013432" w:rsidRPr="00652D3B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местного самоуправления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595D1540" w14:textId="5148AD24" w:rsidR="00866658" w:rsidRPr="00652D3B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28AADB36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Реализация програ</w:t>
      </w:r>
      <w:r w:rsidR="00EF5B71" w:rsidRPr="00652D3B">
        <w:rPr>
          <w:rFonts w:ascii="PT Astra Serif" w:eastAsia="Times New Roman" w:hAnsi="PT Astra Serif" w:cs="Times New Roman"/>
          <w:sz w:val="28"/>
        </w:rPr>
        <w:t xml:space="preserve">ммы осуществляется в период </w:t>
      </w:r>
      <w:r w:rsidR="00586D35" w:rsidRPr="00652D3B">
        <w:rPr>
          <w:rFonts w:ascii="PT Astra Serif" w:eastAsia="Times New Roman" w:hAnsi="PT Astra Serif" w:cs="Times New Roman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sz w:val="28"/>
        </w:rPr>
        <w:t>6</w:t>
      </w:r>
      <w:r w:rsidR="00F920EC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sz w:val="28"/>
        </w:rPr>
        <w:t>г</w:t>
      </w:r>
      <w:r w:rsidR="008B7A6A" w:rsidRPr="00652D3B">
        <w:rPr>
          <w:rFonts w:ascii="PT Astra Serif" w:eastAsia="Times New Roman" w:hAnsi="PT Astra Serif" w:cs="Times New Roman"/>
          <w:sz w:val="28"/>
        </w:rPr>
        <w:t>оды.</w:t>
      </w:r>
    </w:p>
    <w:p w14:paraId="23533D05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5. Ресурсное обеспечение программы.</w:t>
      </w:r>
    </w:p>
    <w:p w14:paraId="236AA429" w14:textId="55651F32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>Объем финансирования программы «</w:t>
      </w:r>
      <w:r w:rsidR="0043259B" w:rsidRPr="00652D3B">
        <w:rPr>
          <w:rFonts w:ascii="PT Astra Serif" w:eastAsia="Times New Roman" w:hAnsi="PT Astra Serif" w:cs="Times New Roman"/>
          <w:color w:val="00000A"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ы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составляет </w:t>
      </w:r>
      <w:r w:rsidR="00D15138">
        <w:rPr>
          <w:rFonts w:ascii="PT Astra Serif" w:eastAsia="Times New Roman" w:hAnsi="PT Astra Serif" w:cs="Times New Roman"/>
          <w:sz w:val="28"/>
        </w:rPr>
        <w:t>1 039,6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руб., в том числе:</w:t>
      </w:r>
    </w:p>
    <w:p w14:paraId="4D286F84" w14:textId="7F53B3CF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расходы бюджета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D15138">
        <w:rPr>
          <w:rFonts w:ascii="PT Astra Serif" w:eastAsia="Times New Roman" w:hAnsi="PT Astra Serif" w:cs="Times New Roman"/>
          <w:sz w:val="28"/>
        </w:rPr>
        <w:t>387,2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 руб.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5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 руб.,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6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934983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руб.</w:t>
      </w:r>
    </w:p>
    <w:p w14:paraId="100225E0" w14:textId="6C271751" w:rsidR="00866658" w:rsidRPr="00652D3B" w:rsidRDefault="001761AB" w:rsidP="008B7A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  </w:t>
      </w: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.</w:t>
      </w:r>
    </w:p>
    <w:p w14:paraId="1BB256C2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Pr="00652D3B" w:rsidRDefault="0043259B" w:rsidP="005C4E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lastRenderedPageBreak/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652D3B">
        <w:rPr>
          <w:rFonts w:ascii="PT Astra Serif" w:eastAsia="Times New Roman" w:hAnsi="PT Astra Serif" w:cs="Times New Roman"/>
          <w:sz w:val="28"/>
        </w:rPr>
        <w:t>Информация о составе и значениях целевых показ</w:t>
      </w:r>
      <w:r w:rsidR="00F872CA" w:rsidRPr="00652D3B">
        <w:rPr>
          <w:rFonts w:ascii="PT Astra Serif" w:eastAsia="Times New Roman" w:hAnsi="PT Astra Serif" w:cs="Times New Roman"/>
          <w:sz w:val="28"/>
        </w:rPr>
        <w:t>ателей приведена в</w:t>
      </w:r>
      <w:r w:rsidR="005C4E6C" w:rsidRPr="00652D3B">
        <w:rPr>
          <w:rFonts w:ascii="PT Astra Serif" w:eastAsia="Times New Roman" w:hAnsi="PT Astra Serif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C729AE" w14:textId="40F399C5" w:rsidR="00934983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C5EE1D2" w14:textId="3F0A2B87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434A5A6" w14:textId="72C38F58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35F0C18" w14:textId="005FC89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59E1FF7" w14:textId="4E3D36E6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D6FFAA3" w14:textId="6BEEF3F6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9121FC6" w14:textId="5759CF10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B697460" w14:textId="07A25F5E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31607A" w14:textId="304F2587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675F7399" w14:textId="53E2A054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82D9800" w14:textId="482CF78A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021442D" w14:textId="17411A10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79195A1" w14:textId="67262413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D42D01C" w14:textId="47368888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209264" w14:textId="069CB6A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5182AF1" w14:textId="4B342635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AAAA41C" w14:textId="6F668C6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C2446A5" w14:textId="26B706E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68F9E88" w14:textId="5EC1BB78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941D24B" w14:textId="7D2D701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33140CC" w14:textId="238FBF6F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CAFB953" w14:textId="5C65813D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D1BE411" w14:textId="72093105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65AA8CA4" w14:textId="5AE26B4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3AA517" w14:textId="53DC2777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FE2DE57" w14:textId="7D788ED6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50CA2C7" w14:textId="20CD69A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35B492C" w14:textId="6012C91E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BBA5D36" w14:textId="4796CE3D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F72CA08" w14:textId="71BD86DF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EEBFD7E" w14:textId="0E689495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D18C862" w14:textId="1ACC308B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66F0F47" w14:textId="0DA9D4E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759B860" w14:textId="77777777" w:rsidR="002F7D30" w:rsidRPr="00652D3B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944567" w14:textId="5D37316B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96FCE22" w14:textId="77777777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E1CAB02" w14:textId="1CD942DF" w:rsidR="008B7A6A" w:rsidRPr="00652D3B" w:rsidRDefault="008B7A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:rsidRPr="00652D3B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Pr="00652D3B" w:rsidRDefault="008B7A6A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6751839C" w:rsidR="00013432" w:rsidRPr="00652D3B" w:rsidRDefault="001761AB" w:rsidP="00F02DE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>Приложение № 1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Барановского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0FFF7169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5AE7E45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Сведения </w:t>
      </w:r>
    </w:p>
    <w:p w14:paraId="222EEE97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668A477C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478DC72B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:rsidRPr="00652D3B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№</w:t>
            </w:r>
          </w:p>
          <w:p w14:paraId="1F4B97E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Pr="00652D3B" w:rsidRDefault="0001343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224DD2" w:rsidRPr="00652D3B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отчетный</w:t>
            </w:r>
          </w:p>
          <w:p w14:paraId="25F5F50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67C68ED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текущий</w:t>
            </w:r>
          </w:p>
          <w:p w14:paraId="38E70C7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12D585B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B484955" w:rsidR="00224DD2" w:rsidRPr="00652D3B" w:rsidRDefault="00586D3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7568BC61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351501B9" w14:textId="77777777" w:rsidR="00200E68" w:rsidRPr="00652D3B" w:rsidRDefault="00200E68" w:rsidP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2ED842D2" w14:textId="74E29FAF" w:rsidR="00224DD2" w:rsidRPr="00652D3B" w:rsidRDefault="00224DD2" w:rsidP="00200E6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</w:t>
            </w:r>
            <w:r w:rsidR="00200E68"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</w:tr>
      <w:tr w:rsidR="00224DD2" w:rsidRPr="00652D3B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</w:tr>
      <w:tr w:rsidR="00013432" w:rsidRPr="00652D3B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716457F3" w:rsidR="00013432" w:rsidRPr="00652D3B" w:rsidRDefault="001761AB" w:rsidP="005C4E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Муниципальная программа «</w:t>
            </w:r>
            <w:r w:rsidR="005C4E6C" w:rsidRPr="00652D3B">
              <w:rPr>
                <w:rFonts w:ascii="PT Astra Serif" w:eastAsia="Times New Roman" w:hAnsi="PT Astra Serif" w:cs="Times New Roman"/>
                <w:sz w:val="28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8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8"/>
              </w:rPr>
              <w:t>2025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год</w:t>
            </w:r>
            <w:r w:rsidRPr="00652D3B">
              <w:rPr>
                <w:rFonts w:ascii="PT Astra Serif" w:eastAsia="Times New Roman" w:hAnsi="PT Astra Serif" w:cs="Times New Roman"/>
                <w:sz w:val="28"/>
                <w:shd w:val="clear" w:color="auto" w:fill="FFFFFF"/>
              </w:rPr>
              <w:t>»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</w:p>
        </w:tc>
      </w:tr>
      <w:tr w:rsidR="00224DD2" w:rsidRPr="00652D3B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652D3B" w:rsidRDefault="00224DD2" w:rsidP="00EF5B71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Показатель №1: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</w:tr>
      <w:tr w:rsidR="00224DD2" w:rsidRPr="00652D3B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Pr="00652D3B" w:rsidRDefault="00224DD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№2:</w:t>
            </w:r>
          </w:p>
          <w:p w14:paraId="7FF1AE17" w14:textId="77777777" w:rsidR="00224DD2" w:rsidRPr="00652D3B" w:rsidRDefault="00224DD2" w:rsidP="00F02DE5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652D3B" w:rsidRDefault="00224DD2" w:rsidP="008133A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Pr="00652D3B" w:rsidRDefault="00224DD2" w:rsidP="008133AB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№3:</w:t>
            </w:r>
          </w:p>
          <w:p w14:paraId="08BDCA82" w14:textId="77777777" w:rsidR="00224DD2" w:rsidRPr="00652D3B" w:rsidRDefault="00224DD2" w:rsidP="008133AB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 Барановском муниципальном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использование информационно-коммуникационных технологий органов местного самоуправления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</w:tr>
    </w:tbl>
    <w:p w14:paraId="2518D339" w14:textId="77777777" w:rsidR="004D6FCB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EBEFA2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F8F3C26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5036E6C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5FAFFF5F" w14:textId="77777777" w:rsidR="00013432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:rsidRPr="00652D3B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4D9B815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61BE4FD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5D0A6F8E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7466831C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1BC0B1E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72FBC0E9" w:rsidR="00013432" w:rsidRPr="00652D3B" w:rsidRDefault="001761AB" w:rsidP="005C4E6C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Перечень</w:t>
      </w:r>
    </w:p>
    <w:p w14:paraId="21AFA3FC" w14:textId="77777777" w:rsidR="00013432" w:rsidRPr="00652D3B" w:rsidRDefault="001761AB" w:rsidP="005C4E6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6A32C3E6" w14:textId="74A12EBB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8924817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:rsidRPr="00652D3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</w:t>
            </w:r>
          </w:p>
        </w:tc>
      </w:tr>
      <w:tr w:rsidR="004D6FCB" w:rsidRPr="00652D3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Окончания реализации</w:t>
            </w:r>
          </w:p>
        </w:tc>
      </w:tr>
      <w:tr w:rsidR="004D6FCB" w:rsidRPr="00652D3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Pr="00652D3B" w:rsidRDefault="004D6FCB" w:rsidP="00934983">
            <w:pPr>
              <w:spacing w:after="200" w:line="276" w:lineRule="auto"/>
              <w:ind w:firstLine="540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1: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:rsidRPr="00652D3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1.1.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3FA6BAE5" w:rsidR="004D6FCB" w:rsidRPr="00652D3B" w:rsidRDefault="00D15138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281,6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16F1A069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CF30B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2: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:rsidRPr="00652D3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2.1.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5C6C7076" w:rsidR="00934983" w:rsidRPr="00652D3B" w:rsidRDefault="00D15138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105,6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6BACD1A4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3C1A979E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528808CB" w:rsidR="004D6FCB" w:rsidRPr="00652D3B" w:rsidRDefault="00D15138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387,2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</w:tr>
    </w:tbl>
    <w:p w14:paraId="1F25341D" w14:textId="77777777" w:rsidR="004D6FCB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Calibri" w:hAnsi="PT Astra Serif" w:cs="Calibri"/>
          <w:sz w:val="28"/>
        </w:rPr>
        <w:t xml:space="preserve"> </w:t>
      </w:r>
    </w:p>
    <w:p w14:paraId="714D04B0" w14:textId="77777777" w:rsidR="00013432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</w:t>
      </w:r>
      <w:r w:rsidR="001761AB" w:rsidRPr="00652D3B">
        <w:rPr>
          <w:rFonts w:ascii="PT Astra Serif" w:eastAsia="Calibri" w:hAnsi="PT Astra Serif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:rsidRPr="00652D3B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Pr="00652D3B" w:rsidRDefault="001761A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5BBD561B" w:rsidR="00013432" w:rsidRPr="00652D3B" w:rsidRDefault="001761AB" w:rsidP="008133AB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Сведения</w:t>
      </w:r>
    </w:p>
    <w:p w14:paraId="5D83BF3D" w14:textId="77777777" w:rsidR="00013432" w:rsidRPr="00652D3B" w:rsidRDefault="001761AB" w:rsidP="00AD4B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6BAA1B33" w14:textId="732C0D89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77E2565B" w14:textId="77777777" w:rsidR="00013432" w:rsidRPr="00652D3B" w:rsidRDefault="00013432">
      <w:pPr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:rsidRPr="00652D3B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</w:t>
            </w:r>
          </w:p>
          <w:p w14:paraId="786F2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:rsidRPr="00652D3B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BD856A7" w:rsidR="00013432" w:rsidRPr="00652D3B" w:rsidRDefault="00586D3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F995E63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6E1BC4EA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13432" w:rsidRPr="00652D3B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</w:tr>
      <w:tr w:rsidR="00224DD2" w:rsidRPr="00652D3B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13C02188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Муниципальная программа    «Развитие местного самоуправления Барановского муниципального образования Аткарского муниципального района на 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 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75F29017" w:rsidR="00224DD2" w:rsidRPr="00652D3B" w:rsidRDefault="00D15138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2987FECB" w:rsidR="00224DD2" w:rsidRPr="00652D3B" w:rsidRDefault="00D15138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176CE44C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65EF4EF4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224DD2" w:rsidRPr="00652D3B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5ED6EC71" w:rsidR="00224DD2" w:rsidRPr="00652D3B" w:rsidRDefault="00D15138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443622FB" w:rsidR="00224DD2" w:rsidRPr="00652D3B" w:rsidRDefault="00D15138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0CB78278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3BA118B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013432" w:rsidRPr="00652D3B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Pr="00652D3B" w:rsidRDefault="0003106D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Аткарского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</w:tbl>
    <w:p w14:paraId="32870A32" w14:textId="77777777" w:rsidR="00013432" w:rsidRPr="00652D3B" w:rsidRDefault="00013432">
      <w:pPr>
        <w:spacing w:after="200" w:line="276" w:lineRule="auto"/>
        <w:rPr>
          <w:rFonts w:ascii="PT Astra Serif" w:eastAsia="Calibri" w:hAnsi="PT Astra Serif" w:cs="Calibri"/>
          <w:sz w:val="2"/>
        </w:rPr>
      </w:pPr>
    </w:p>
    <w:p w14:paraId="019EFD87" w14:textId="77777777" w:rsidR="00013432" w:rsidRPr="00652D3B" w:rsidRDefault="00013432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B70E3F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4E6058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76EAA9D" w14:textId="77777777" w:rsidR="00AD4BD4" w:rsidRPr="00652D3B" w:rsidRDefault="00AD4BD4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B942711" w14:textId="77777777" w:rsidR="008133AB" w:rsidRPr="00652D3B" w:rsidRDefault="008133AB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DABB5CD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652D3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652D3B" w:rsidRDefault="001761AB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26DB7072" w:rsidR="00013432" w:rsidRPr="00652D3B" w:rsidRDefault="001761AB" w:rsidP="00AD4BD4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4A9283AF" w:rsidR="00013432" w:rsidRPr="00652D3B" w:rsidRDefault="00736E2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План-график реализации муниципальной программы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1761AB"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51E3774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652D3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652D3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(тыс. руб.)</w:t>
            </w:r>
          </w:p>
        </w:tc>
      </w:tr>
      <w:tr w:rsidR="004D6FCB" w:rsidRPr="00652D3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A8EFE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652D3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IV</w:t>
            </w:r>
          </w:p>
        </w:tc>
      </w:tr>
      <w:tr w:rsidR="004D6FCB" w:rsidRPr="00652D3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D6FCB" w:rsidRPr="00652D3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2A81E64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62AF16C4" w14:textId="77777777" w:rsidR="004D6FCB" w:rsidRPr="00652D3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652D3B" w:rsidRDefault="004D6FCB" w:rsidP="004D6FC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117B6852" w:rsidR="004D6FCB" w:rsidRPr="00D15138" w:rsidRDefault="00D15138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eastAsia="Calibri" w:hAnsi="PT Astra Serif" w:cs="Times New Roman"/>
                <w:sz w:val="24"/>
                <w:szCs w:val="24"/>
              </w:rPr>
              <w:t>387,2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7C3E2894" w:rsidR="004D6FCB" w:rsidRPr="00D15138" w:rsidRDefault="00D15138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eastAsia="Calibri" w:hAnsi="PT Astra Serif" w:cs="Times New Roman"/>
                <w:sz w:val="24"/>
                <w:szCs w:val="24"/>
              </w:rPr>
              <w:t>77,44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066D9A5D" w:rsidR="004D6FCB" w:rsidRPr="00D15138" w:rsidRDefault="00D15138" w:rsidP="000C72D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eastAsia="Calibri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47346D8F" w:rsidR="004D6FCB" w:rsidRPr="00D15138" w:rsidRDefault="00D15138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eastAsia="Calibri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062D7F94" w:rsidR="004D6FCB" w:rsidRPr="00D15138" w:rsidRDefault="00D15138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eastAsia="Calibri" w:hAnsi="PT Astra Serif" w:cs="Times New Roman"/>
                <w:sz w:val="24"/>
                <w:szCs w:val="24"/>
              </w:rPr>
              <w:t>116,16</w:t>
            </w:r>
          </w:p>
        </w:tc>
      </w:tr>
      <w:tr w:rsidR="00493D0B" w:rsidRPr="00652D3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652D3B" w:rsidRDefault="00493D0B" w:rsidP="00493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652D3B" w:rsidRDefault="00493D0B" w:rsidP="00493D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104ACF9D" w:rsidR="00493D0B" w:rsidRPr="00D15138" w:rsidRDefault="00D15138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eastAsia="Calibri" w:hAnsi="PT Astra Serif" w:cs="Times New Roman"/>
                <w:sz w:val="24"/>
                <w:szCs w:val="24"/>
              </w:rPr>
              <w:t>387,2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6C317AFF" w:rsidR="00493D0B" w:rsidRPr="00D15138" w:rsidRDefault="00D15138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hAnsi="PT Astra Serif"/>
                <w:sz w:val="24"/>
                <w:szCs w:val="24"/>
              </w:rPr>
              <w:t>77,44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65E0BD31" w:rsidR="00493D0B" w:rsidRPr="00D15138" w:rsidRDefault="00D15138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hAnsi="PT Astra Serif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423C06CA" w:rsidR="00493D0B" w:rsidRPr="00D15138" w:rsidRDefault="00D15138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hAnsi="PT Astra Serif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44978930" w:rsidR="00493D0B" w:rsidRPr="00D15138" w:rsidRDefault="00D15138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5138">
              <w:rPr>
                <w:rFonts w:ascii="PT Astra Serif" w:hAnsi="PT Astra Serif"/>
                <w:sz w:val="24"/>
                <w:szCs w:val="24"/>
              </w:rPr>
              <w:t>116,16</w:t>
            </w:r>
          </w:p>
        </w:tc>
      </w:tr>
      <w:tr w:rsidR="004D6FCB" w:rsidRPr="00652D3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38A002B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1DC75A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3672EDF2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281,6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5ACCFA84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56,32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3C2A0053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3C4C1AB1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740F87B3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84,48</w:t>
            </w:r>
          </w:p>
        </w:tc>
      </w:tr>
      <w:tr w:rsidR="00D05889" w:rsidRPr="00652D3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5E21414F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4D7FA988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0E1A113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4CD93B57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1C0EA2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6EE447A1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2510F7E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11CE631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52DE183B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0372AC6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0206A6C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44D80680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41C5F87A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7C9E9775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67EB5284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7C1052AA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31,68</w:t>
            </w:r>
            <w:bookmarkStart w:id="0" w:name="_GoBack"/>
            <w:bookmarkEnd w:id="0"/>
          </w:p>
        </w:tc>
      </w:tr>
      <w:tr w:rsidR="004D6FCB" w:rsidRPr="00652D3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D25A0F6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2333298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5754789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1D87695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6BFC884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0BFC3AA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D05889" w:rsidRPr="00652D3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1F27B6A9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B381C64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4D823D13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38EA9979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44385AF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E1B2FD7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16E2034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44B741D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47B921A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4C1986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387CEC9E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65E6FC3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18BD27A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388FBDB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6F4052B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684B16C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2F27D0" w:rsidRPr="00652D3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2F8BACDF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245A5AC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0A47D62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06EEF812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1DC4B0A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195DC07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D05889" w:rsidRPr="00652D3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2B18A95E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0B93D13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462E527F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5B88AE5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CDBCA1C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2136AB4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518AC8C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9DAC23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4562966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624259E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BD1CBD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32FA383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2D6CA06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65B9425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2675C00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45E9018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2507F1" w:rsidRPr="00652D3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652D3B" w:rsidRDefault="004D6FCB" w:rsidP="004D6F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3438960E" w14:textId="77777777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F40"/>
          <w:sz w:val="28"/>
        </w:rPr>
      </w:pPr>
    </w:p>
    <w:p w14:paraId="79E15EA4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55F8A553" w14:textId="77777777" w:rsidR="00013432" w:rsidRPr="00652D3B" w:rsidRDefault="0001343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p w14:paraId="3EEB42C9" w14:textId="77777777" w:rsidR="008D014A" w:rsidRPr="00652D3B" w:rsidRDefault="008D014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sectPr w:rsidR="008D014A" w:rsidRPr="006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A364B"/>
    <w:rsid w:val="001C1F3F"/>
    <w:rsid w:val="00200E68"/>
    <w:rsid w:val="00224DD2"/>
    <w:rsid w:val="002507F1"/>
    <w:rsid w:val="00286B79"/>
    <w:rsid w:val="00295B05"/>
    <w:rsid w:val="002F27D0"/>
    <w:rsid w:val="002F7D30"/>
    <w:rsid w:val="003407DD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86D35"/>
    <w:rsid w:val="005C4E6C"/>
    <w:rsid w:val="00652D3B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62CC9"/>
    <w:rsid w:val="009E25F6"/>
    <w:rsid w:val="00A4603C"/>
    <w:rsid w:val="00A53A4E"/>
    <w:rsid w:val="00AB12DB"/>
    <w:rsid w:val="00AD4BD4"/>
    <w:rsid w:val="00B3238E"/>
    <w:rsid w:val="00B50841"/>
    <w:rsid w:val="00B91426"/>
    <w:rsid w:val="00BB1F01"/>
    <w:rsid w:val="00C729C9"/>
    <w:rsid w:val="00C86F6A"/>
    <w:rsid w:val="00CA2FA5"/>
    <w:rsid w:val="00CD6820"/>
    <w:rsid w:val="00D05889"/>
    <w:rsid w:val="00D15138"/>
    <w:rsid w:val="00DE0A59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A17E-8798-451A-8D73-0C8D3649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2023-12-20T07:32:00Z</cp:lastPrinted>
  <dcterms:created xsi:type="dcterms:W3CDTF">2022-10-21T15:43:00Z</dcterms:created>
  <dcterms:modified xsi:type="dcterms:W3CDTF">2024-02-08T07:16:00Z</dcterms:modified>
</cp:coreProperties>
</file>